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4278C" w14:textId="0CD97FDC" w:rsidR="00C512EB" w:rsidRPr="00A6312F" w:rsidRDefault="00C512EB" w:rsidP="00C512EB">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Pr>
          <w:rFonts w:cs="Arial"/>
          <w:bCs/>
          <w:sz w:val="24"/>
          <w:szCs w:val="24"/>
        </w:rPr>
        <w:t>8</w:t>
      </w:r>
      <w:r w:rsidRPr="00A6312F">
        <w:rPr>
          <w:rFonts w:cs="Arial"/>
          <w:bCs/>
          <w:sz w:val="24"/>
          <w:szCs w:val="24"/>
        </w:rPr>
        <w:t>-e</w:t>
      </w:r>
      <w:r w:rsidRPr="00A6312F">
        <w:rPr>
          <w:rFonts w:cs="Arial"/>
          <w:bCs/>
          <w:sz w:val="24"/>
          <w:szCs w:val="24"/>
        </w:rPr>
        <w:tab/>
      </w:r>
      <w:r w:rsidR="00B871B2" w:rsidRPr="00B871B2">
        <w:rPr>
          <w:rFonts w:cs="Arial"/>
          <w:bCs/>
          <w:sz w:val="24"/>
          <w:szCs w:val="24"/>
        </w:rPr>
        <w:t>R4-2102617</w:t>
      </w:r>
    </w:p>
    <w:p w14:paraId="266E0612" w14:textId="77777777" w:rsidR="00C512EB" w:rsidRPr="00A6312F" w:rsidRDefault="00C512EB" w:rsidP="00C512EB">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Pr>
          <w:rFonts w:cs="Arial"/>
          <w:sz w:val="24"/>
        </w:rPr>
        <w:t>25</w:t>
      </w:r>
      <w:r w:rsidRPr="001B28D7">
        <w:rPr>
          <w:rFonts w:cs="Arial"/>
          <w:sz w:val="24"/>
        </w:rPr>
        <w:t xml:space="preserve"> </w:t>
      </w:r>
      <w:r>
        <w:rPr>
          <w:rFonts w:cs="Arial"/>
          <w:sz w:val="24"/>
        </w:rPr>
        <w:t>January</w:t>
      </w:r>
      <w:r w:rsidRPr="001B28D7">
        <w:rPr>
          <w:rFonts w:cs="Arial"/>
          <w:sz w:val="24"/>
        </w:rPr>
        <w:t xml:space="preserve"> - </w:t>
      </w:r>
      <w:r>
        <w:rPr>
          <w:rFonts w:cs="Arial"/>
          <w:sz w:val="24"/>
        </w:rPr>
        <w:t>5</w:t>
      </w:r>
      <w:r w:rsidRPr="001B28D7">
        <w:rPr>
          <w:rFonts w:cs="Arial"/>
          <w:sz w:val="24"/>
        </w:rPr>
        <w:t xml:space="preserve"> </w:t>
      </w:r>
      <w:r>
        <w:rPr>
          <w:rFonts w:cs="Arial"/>
          <w:sz w:val="24"/>
        </w:rPr>
        <w:t>February 2021</w:t>
      </w:r>
    </w:p>
    <w:p w14:paraId="65EB9CB4" w14:textId="77777777" w:rsidR="00C512EB" w:rsidRPr="0008103A" w:rsidRDefault="00C512EB" w:rsidP="00C512EB">
      <w:pPr>
        <w:rPr>
          <w:rFonts w:ascii="Arial" w:hAnsi="Arial" w:cs="Arial"/>
          <w:b/>
          <w:sz w:val="24"/>
          <w:szCs w:val="24"/>
        </w:rPr>
      </w:pPr>
    </w:p>
    <w:p w14:paraId="35952388" w14:textId="75BC4B3B"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1F6D1F" w:rsidRPr="001F6D1F">
        <w:rPr>
          <w:rFonts w:ascii="Arial" w:hAnsi="Arial" w:cs="Arial"/>
          <w:sz w:val="24"/>
          <w:szCs w:val="24"/>
        </w:rPr>
        <w:t>1</w:t>
      </w:r>
      <w:r w:rsidR="00C512EB">
        <w:rPr>
          <w:rFonts w:ascii="Arial" w:hAnsi="Arial" w:cs="Arial"/>
          <w:sz w:val="24"/>
          <w:szCs w:val="24"/>
        </w:rPr>
        <w:t>2</w:t>
      </w:r>
      <w:r w:rsidR="001F6D1F" w:rsidRPr="001F6D1F">
        <w:rPr>
          <w:rFonts w:ascii="Arial" w:hAnsi="Arial" w:cs="Arial"/>
          <w:sz w:val="24"/>
          <w:szCs w:val="24"/>
        </w:rPr>
        <w:t>.1.</w:t>
      </w:r>
      <w:r w:rsidR="00C512EB">
        <w:rPr>
          <w:rFonts w:ascii="Arial" w:hAnsi="Arial" w:cs="Arial"/>
          <w:sz w:val="24"/>
          <w:szCs w:val="24"/>
        </w:rPr>
        <w:t>5</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0C30B789" w:rsidR="00816C9D" w:rsidRPr="00A27CB4" w:rsidRDefault="00816C9D" w:rsidP="00816C9D">
      <w:pPr>
        <w:tabs>
          <w:tab w:val="left" w:pos="2250"/>
        </w:tabs>
        <w:ind w:left="2160" w:hanging="2160"/>
        <w:rPr>
          <w:rFonts w:ascii="Arial" w:hAnsi="Arial" w:cs="Arial"/>
          <w:sz w:val="24"/>
          <w:szCs w:val="24"/>
        </w:rPr>
      </w:pPr>
      <w:r w:rsidRPr="0008103A">
        <w:rPr>
          <w:rFonts w:ascii="Arial" w:hAnsi="Arial" w:cs="Arial"/>
          <w:b/>
          <w:sz w:val="24"/>
          <w:szCs w:val="24"/>
        </w:rPr>
        <w:t>Title:</w:t>
      </w:r>
      <w:r w:rsidRPr="0008103A">
        <w:rPr>
          <w:rFonts w:ascii="Arial" w:hAnsi="Arial" w:cs="Arial"/>
          <w:b/>
          <w:sz w:val="24"/>
          <w:szCs w:val="24"/>
        </w:rPr>
        <w:tab/>
      </w:r>
      <w:bookmarkStart w:id="4" w:name="_Hlk517280009"/>
      <w:r w:rsidR="007040A0">
        <w:rPr>
          <w:rFonts w:ascii="Arial" w:hAnsi="Arial" w:cs="Arial"/>
          <w:sz w:val="24"/>
          <w:szCs w:val="24"/>
        </w:rPr>
        <w:t xml:space="preserve">On </w:t>
      </w:r>
      <w:r w:rsidR="00A27CB4">
        <w:rPr>
          <w:rFonts w:ascii="Arial" w:hAnsi="Arial" w:cs="Arial"/>
          <w:sz w:val="24"/>
          <w:szCs w:val="24"/>
        </w:rPr>
        <w:t xml:space="preserve">extreme temperature condition </w:t>
      </w:r>
      <w:r w:rsidR="00A27CB4" w:rsidRPr="00A27CB4">
        <w:rPr>
          <w:rFonts w:ascii="Arial" w:hAnsi="Arial" w:cs="Arial"/>
          <w:sz w:val="24"/>
          <w:szCs w:val="24"/>
        </w:rPr>
        <w:t>testing</w:t>
      </w:r>
      <w:r w:rsidR="00861C5F" w:rsidRPr="00A27CB4">
        <w:rPr>
          <w:rFonts w:ascii="Arial" w:hAnsi="Arial" w:cs="Arial"/>
          <w:sz w:val="24"/>
          <w:szCs w:val="24"/>
        </w:rPr>
        <w:t xml:space="preserve"> </w:t>
      </w:r>
      <w:bookmarkEnd w:id="4"/>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0BCAF972" w14:textId="7F99B208" w:rsidR="007040A0" w:rsidRPr="00241706" w:rsidRDefault="007040A0" w:rsidP="007040A0">
      <w:pPr>
        <w:ind w:left="48"/>
        <w:rPr>
          <w:rFonts w:eastAsia="Batang"/>
        </w:rPr>
      </w:pPr>
      <w:r>
        <w:rPr>
          <w:rFonts w:eastAsia="Batang"/>
        </w:rPr>
        <w:t>This contribution outlines our view on topic #</w:t>
      </w:r>
      <w:r w:rsidR="001F6D1F">
        <w:rPr>
          <w:rFonts w:eastAsia="Batang"/>
        </w:rPr>
        <w:t>4</w:t>
      </w:r>
      <w:r>
        <w:rPr>
          <w:rFonts w:eastAsia="Batang"/>
        </w:rPr>
        <w:t xml:space="preserve"> of this SI </w:t>
      </w:r>
      <w:r>
        <w:rPr>
          <w:rFonts w:eastAsia="Batang"/>
        </w:rPr>
        <w:fldChar w:fldCharType="begin"/>
      </w:r>
      <w:r>
        <w:rPr>
          <w:rFonts w:eastAsia="Batang"/>
        </w:rPr>
        <w:instrText xml:space="preserve"> REF _Ref20406919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xml:space="preserve"> to </w:t>
      </w:r>
      <w:r>
        <w:t>support extreme temperature conditions for all applicable FR2 UE RF test cases</w:t>
      </w:r>
      <w:r>
        <w:rPr>
          <w:rFonts w:eastAsia="Batang"/>
        </w:rPr>
        <w:t>.</w:t>
      </w:r>
    </w:p>
    <w:p w14:paraId="3595238E" w14:textId="77777777" w:rsidR="0053435C" w:rsidRDefault="00AF0F4C" w:rsidP="0053435C">
      <w:pPr>
        <w:pStyle w:val="Heading1"/>
        <w:ind w:left="567" w:hanging="567"/>
      </w:pPr>
      <w:r>
        <w:t>Discussion</w:t>
      </w:r>
    </w:p>
    <w:p w14:paraId="3595238F" w14:textId="451B2C1C" w:rsidR="00E03F11" w:rsidRDefault="007040A0" w:rsidP="00E03F11">
      <w:r>
        <w:t xml:space="preserve">As outlined in the SID </w:t>
      </w:r>
      <w:r>
        <w:fldChar w:fldCharType="begin"/>
      </w:r>
      <w:r>
        <w:instrText xml:space="preserve"> REF _Ref20406919 \w \h </w:instrText>
      </w:r>
      <w:r>
        <w:fldChar w:fldCharType="separate"/>
      </w:r>
      <w:r>
        <w:t>[1]</w:t>
      </w:r>
      <w:r>
        <w:fldChar w:fldCharType="end"/>
      </w:r>
      <w:r>
        <w:t>, the ETC topic was meant to address the following items:</w:t>
      </w:r>
    </w:p>
    <w:tbl>
      <w:tblPr>
        <w:tblStyle w:val="TableGrid"/>
        <w:tblW w:w="0" w:type="auto"/>
        <w:tblLook w:val="04A0" w:firstRow="1" w:lastRow="0" w:firstColumn="1" w:lastColumn="0" w:noHBand="0" w:noVBand="1"/>
      </w:tblPr>
      <w:tblGrid>
        <w:gridCol w:w="9631"/>
      </w:tblGrid>
      <w:tr w:rsidR="007040A0" w14:paraId="08019373" w14:textId="77777777" w:rsidTr="007040A0">
        <w:tc>
          <w:tcPr>
            <w:tcW w:w="9631" w:type="dxa"/>
          </w:tcPr>
          <w:p w14:paraId="3F826551" w14:textId="77777777" w:rsidR="007040A0" w:rsidRDefault="007040A0" w:rsidP="007040A0">
            <w:pPr>
              <w:pStyle w:val="List"/>
            </w:pPr>
            <w:r>
              <w:t>Support extreme temperature conditions for all applicable FR2 UE RF test cases</w:t>
            </w:r>
          </w:p>
          <w:p w14:paraId="08759ECC" w14:textId="77777777" w:rsidR="007040A0" w:rsidRDefault="007040A0" w:rsidP="007040A0">
            <w:pPr>
              <w:pStyle w:val="List2"/>
            </w:pPr>
            <w:r>
              <w:t>-</w:t>
            </w:r>
            <w:r>
              <w:tab/>
              <w:t>Considering beam peak search, spherical coverage, and total radiated power procedures</w:t>
            </w:r>
          </w:p>
          <w:p w14:paraId="2359A31F" w14:textId="77777777" w:rsidR="007040A0" w:rsidRDefault="007040A0" w:rsidP="007040A0">
            <w:pPr>
              <w:pStyle w:val="List2"/>
            </w:pPr>
            <w:r>
              <w:t xml:space="preserve">- </w:t>
            </w:r>
            <w:r>
              <w:tab/>
              <w:t xml:space="preserve">Limit the study of this objective to </w:t>
            </w:r>
            <w:r w:rsidRPr="00373275">
              <w:t>the permitted UE RF methods defined in Clause 5.2 of TR38.810</w:t>
            </w:r>
          </w:p>
          <w:p w14:paraId="017531BB" w14:textId="66D94C3E" w:rsidR="007040A0" w:rsidRDefault="007040A0" w:rsidP="007040A0">
            <w:pPr>
              <w:pStyle w:val="List2"/>
            </w:pPr>
            <w:r>
              <w:t>-</w:t>
            </w:r>
            <w:r>
              <w:tab/>
              <w:t>Study preliminary impacts on system measurement uncertainty under extreme temperature conditions</w:t>
            </w:r>
          </w:p>
        </w:tc>
      </w:tr>
    </w:tbl>
    <w:p w14:paraId="1A9079E8" w14:textId="525E3966" w:rsidR="007040A0" w:rsidRDefault="007040A0" w:rsidP="00E03F11"/>
    <w:p w14:paraId="255DE5E1" w14:textId="655170CD" w:rsidR="00B2291B" w:rsidRDefault="00C512EB" w:rsidP="00E03F11">
      <w:r>
        <w:t>A lot of progress</w:t>
      </w:r>
      <w:r w:rsidR="008B6A5C">
        <w:t xml:space="preserve"> on ETC test</w:t>
      </w:r>
      <w:bookmarkStart w:id="5" w:name="_GoBack"/>
      <w:bookmarkEnd w:id="5"/>
      <w:r w:rsidR="008B6A5C">
        <w:t>ing was made in RAN5#89-e</w:t>
      </w:r>
      <w:r w:rsidR="00B2291B">
        <w:t>, specifically with the following proposals endorsed</w:t>
      </w:r>
      <w:r w:rsidR="003A2B7D">
        <w:t xml:space="preserve"> </w:t>
      </w:r>
      <w:r w:rsidR="00B2291B">
        <w:fldChar w:fldCharType="begin"/>
      </w:r>
      <w:r w:rsidR="00B2291B">
        <w:instrText xml:space="preserve"> REF _Ref54292053 \w \h </w:instrText>
      </w:r>
      <w:r w:rsidR="00B2291B">
        <w:fldChar w:fldCharType="separate"/>
      </w:r>
      <w:r w:rsidR="00B2291B">
        <w:t>[2]</w:t>
      </w:r>
      <w:r w:rsidR="00B2291B">
        <w:fldChar w:fldCharType="end"/>
      </w:r>
      <w:r w:rsidR="00B2291B">
        <w:t xml:space="preserve"> </w:t>
      </w:r>
    </w:p>
    <w:tbl>
      <w:tblPr>
        <w:tblStyle w:val="TableGrid"/>
        <w:tblW w:w="0" w:type="auto"/>
        <w:tblLook w:val="04A0" w:firstRow="1" w:lastRow="0" w:firstColumn="1" w:lastColumn="0" w:noHBand="0" w:noVBand="1"/>
      </w:tblPr>
      <w:tblGrid>
        <w:gridCol w:w="9631"/>
      </w:tblGrid>
      <w:tr w:rsidR="00B2291B" w14:paraId="70A1A459" w14:textId="77777777" w:rsidTr="00B2291B">
        <w:tc>
          <w:tcPr>
            <w:tcW w:w="9631" w:type="dxa"/>
          </w:tcPr>
          <w:p w14:paraId="042AEC56" w14:textId="77777777" w:rsidR="00B2291B" w:rsidRPr="006B30E0" w:rsidRDefault="00B2291B" w:rsidP="00B2291B">
            <w:pPr>
              <w:rPr>
                <w:b/>
                <w:bCs/>
              </w:rPr>
            </w:pPr>
            <w:r w:rsidRPr="006B30E0">
              <w:rPr>
                <w:b/>
                <w:bCs/>
              </w:rPr>
              <w:fldChar w:fldCharType="begin"/>
            </w:r>
            <w:r w:rsidRPr="006B30E0">
              <w:rPr>
                <w:b/>
                <w:bCs/>
              </w:rPr>
              <w:instrText xml:space="preserve"> REF _Ref54811071 \h  \* MERGEFORMAT </w:instrText>
            </w:r>
            <w:r w:rsidRPr="006B30E0">
              <w:rPr>
                <w:b/>
                <w:bCs/>
              </w:rPr>
            </w:r>
            <w:r w:rsidRPr="006B30E0">
              <w:rPr>
                <w:b/>
                <w:bCs/>
              </w:rPr>
              <w:fldChar w:fldCharType="separate"/>
            </w:r>
            <w:r w:rsidRPr="006B30E0">
              <w:rPr>
                <w:b/>
                <w:bCs/>
              </w:rPr>
              <w:t xml:space="preserve">Proposal </w:t>
            </w:r>
            <w:r w:rsidRPr="006B30E0">
              <w:rPr>
                <w:b/>
                <w:bCs/>
                <w:noProof/>
              </w:rPr>
              <w:t>1</w:t>
            </w:r>
            <w:r w:rsidRPr="006B30E0">
              <w:rPr>
                <w:b/>
                <w:bCs/>
              </w:rPr>
              <w:t xml:space="preserve">: For the IFF methodology with a 30cm Quiet Zone, set the MU element of Quality of Quiet Zone for FR2_A and FR2_B to </w:t>
            </w:r>
            <w:r>
              <w:rPr>
                <w:b/>
                <w:bCs/>
              </w:rPr>
              <w:t>[</w:t>
            </w:r>
            <w:r w:rsidRPr="006B30E0">
              <w:rPr>
                <w:b/>
                <w:bCs/>
              </w:rPr>
              <w:t>0.7</w:t>
            </w:r>
            <w:r>
              <w:rPr>
                <w:b/>
                <w:bCs/>
              </w:rPr>
              <w:t>]</w:t>
            </w:r>
            <w:r w:rsidRPr="006B30E0">
              <w:rPr>
                <w:b/>
                <w:bCs/>
              </w:rPr>
              <w:t xml:space="preserve">dB for Stage 2 (EIRP, EIS) and to </w:t>
            </w:r>
            <w:r>
              <w:rPr>
                <w:b/>
                <w:bCs/>
              </w:rPr>
              <w:t>[</w:t>
            </w:r>
            <w:r w:rsidRPr="006B30E0">
              <w:rPr>
                <w:b/>
                <w:bCs/>
              </w:rPr>
              <w:t>0.4</w:t>
            </w:r>
            <w:r>
              <w:rPr>
                <w:b/>
                <w:bCs/>
              </w:rPr>
              <w:t>]</w:t>
            </w:r>
            <w:r w:rsidRPr="006B30E0">
              <w:rPr>
                <w:b/>
                <w:bCs/>
              </w:rPr>
              <w:t>dB for Stage 1 (EIRP, EIS) for test cases with ETC.</w:t>
            </w:r>
            <w:r w:rsidRPr="006B30E0">
              <w:rPr>
                <w:b/>
                <w:bCs/>
              </w:rPr>
              <w:fldChar w:fldCharType="end"/>
            </w:r>
          </w:p>
          <w:p w14:paraId="7DB95869" w14:textId="77777777" w:rsidR="00B2291B" w:rsidRPr="00D70EF3" w:rsidRDefault="00B2291B" w:rsidP="00B2291B">
            <w:pPr>
              <w:rPr>
                <w:b/>
                <w:bCs/>
                <w:color w:val="FF0000"/>
              </w:rPr>
            </w:pPr>
            <w:r w:rsidRPr="00D70EF3">
              <w:rPr>
                <w:b/>
                <w:bCs/>
              </w:rPr>
              <w:fldChar w:fldCharType="begin"/>
            </w:r>
            <w:r w:rsidRPr="00D70EF3">
              <w:rPr>
                <w:b/>
                <w:bCs/>
              </w:rPr>
              <w:instrText xml:space="preserve"> REF _Ref54811072 \h  \* MERGEFORMAT </w:instrText>
            </w:r>
            <w:r w:rsidRPr="00D70EF3">
              <w:rPr>
                <w:b/>
                <w:bCs/>
              </w:rPr>
            </w:r>
            <w:r w:rsidRPr="00D70EF3">
              <w:rPr>
                <w:b/>
                <w:bCs/>
              </w:rPr>
              <w:fldChar w:fldCharType="separate"/>
            </w:r>
            <w:r w:rsidRPr="00D70EF3">
              <w:rPr>
                <w:b/>
                <w:bCs/>
              </w:rPr>
              <w:t xml:space="preserve">Proposal </w:t>
            </w:r>
            <w:r w:rsidRPr="00D70EF3">
              <w:rPr>
                <w:b/>
                <w:bCs/>
                <w:noProof/>
              </w:rPr>
              <w:t>2</w:t>
            </w:r>
            <w:r w:rsidRPr="00D70EF3">
              <w:rPr>
                <w:b/>
                <w:bCs/>
              </w:rPr>
              <w:t>: For the IFF methodology with a 30cm Quiet Zone, introduce a new MU element (systematic error) ‘Influence of ETC on EIRP/EIS’ based on the mean EIRP differences of the QoQZ measurements and set this MU element to [0.4]dB for FR2_A and FR2_B.</w:t>
            </w:r>
            <w:r w:rsidRPr="00D70EF3">
              <w:rPr>
                <w:b/>
                <w:bCs/>
              </w:rPr>
              <w:fldChar w:fldCharType="end"/>
            </w:r>
            <w:r w:rsidRPr="00D70EF3">
              <w:rPr>
                <w:b/>
                <w:bCs/>
              </w:rPr>
              <w:t xml:space="preserve"> 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w:t>
            </w:r>
            <w:proofErr w:type="gramStart"/>
            <w:r w:rsidRPr="00D70EF3">
              <w:rPr>
                <w:b/>
                <w:bCs/>
              </w:rPr>
              <w:t>at all times</w:t>
            </w:r>
            <w:proofErr w:type="gramEnd"/>
            <w:r w:rsidRPr="00D70EF3">
              <w:rPr>
                <w:b/>
                <w:bCs/>
              </w:rPr>
              <w:t xml:space="preserve"> for NTC and ETC test cases, is FFS.</w:t>
            </w:r>
          </w:p>
          <w:p w14:paraId="4A81A4B0" w14:textId="77777777" w:rsidR="00B2291B" w:rsidRPr="00D70EF3" w:rsidRDefault="00B2291B" w:rsidP="00B2291B">
            <w:pPr>
              <w:rPr>
                <w:b/>
                <w:bCs/>
              </w:rPr>
            </w:pPr>
            <w:r w:rsidRPr="00D70EF3">
              <w:rPr>
                <w:b/>
                <w:bCs/>
              </w:rPr>
              <w:fldChar w:fldCharType="begin"/>
            </w:r>
            <w:r w:rsidRPr="00D70EF3">
              <w:rPr>
                <w:b/>
                <w:bCs/>
              </w:rPr>
              <w:instrText xml:space="preserve"> REF _Ref54857089 \h  \* MERGEFORMAT </w:instrText>
            </w:r>
            <w:r w:rsidRPr="00D70EF3">
              <w:rPr>
                <w:b/>
                <w:bCs/>
              </w:rPr>
            </w:r>
            <w:r w:rsidRPr="00D70EF3">
              <w:rPr>
                <w:b/>
                <w:bCs/>
              </w:rPr>
              <w:fldChar w:fldCharType="separate"/>
            </w:r>
            <w:r w:rsidRPr="00D70EF3">
              <w:rPr>
                <w:b/>
                <w:bCs/>
              </w:rPr>
              <w:t xml:space="preserve">Proposal </w:t>
            </w:r>
            <w:r w:rsidRPr="00D70EF3">
              <w:rPr>
                <w:b/>
                <w:bCs/>
                <w:noProof/>
              </w:rPr>
              <w:t>3</w:t>
            </w:r>
            <w:r w:rsidRPr="00D70EF3">
              <w:rPr>
                <w:b/>
                <w:bCs/>
              </w:rPr>
              <w:t>: Adjust the editor notes in 38.521-2 and remove statements that test procedure for EIRP/EIS beam peak extreme conditions are FFS.</w:t>
            </w:r>
            <w:r w:rsidRPr="00D70EF3">
              <w:rPr>
                <w:b/>
                <w:bCs/>
              </w:rPr>
              <w:fldChar w:fldCharType="end"/>
            </w:r>
          </w:p>
          <w:p w14:paraId="71FC2197" w14:textId="6A97C72E" w:rsidR="00B2291B" w:rsidRDefault="00B2291B" w:rsidP="00B2291B">
            <w:r w:rsidRPr="00D70EF3">
              <w:rPr>
                <w:b/>
                <w:bCs/>
              </w:rPr>
              <w:t>Proposal 4: RAN5 acknowledges that ETC shall be tested. The new target completion date for TE vendors to complete MU on ETC is RAN5#90-e.</w:t>
            </w:r>
          </w:p>
        </w:tc>
      </w:tr>
    </w:tbl>
    <w:p w14:paraId="67F31E38" w14:textId="657F795B" w:rsidR="00B2291B" w:rsidRDefault="00B2291B" w:rsidP="00E03F11"/>
    <w:p w14:paraId="665F97D9" w14:textId="7173DCE7" w:rsidR="00B2291B" w:rsidRDefault="00B2291B" w:rsidP="00E03F11">
      <w:r>
        <w:t xml:space="preserve">RAN4 should therefore assume that ETC testing is feasible from a testability perspective and that MUs will be finalized shortly. Accordingly, the restrictions in 38.101-2 </w:t>
      </w:r>
      <w:r w:rsidR="00E84339">
        <w:fldChar w:fldCharType="begin"/>
      </w:r>
      <w:r w:rsidR="00E84339">
        <w:instrText xml:space="preserve"> REF _Ref61527153 \w \h </w:instrText>
      </w:r>
      <w:r w:rsidR="00E84339">
        <w:fldChar w:fldCharType="separate"/>
      </w:r>
      <w:r w:rsidR="00E84339">
        <w:t>[3]</w:t>
      </w:r>
      <w:r w:rsidR="00E84339">
        <w:fldChar w:fldCharType="end"/>
      </w:r>
      <w:r w:rsidR="00E84339">
        <w:t xml:space="preserve"> </w:t>
      </w:r>
      <w:r>
        <w:t xml:space="preserve">that </w:t>
      </w:r>
      <w:r w:rsidRPr="00B2291B">
        <w:t>UE EIRP and EIS spherical coverage, Power control, EVM, and UE beam correspondence</w:t>
      </w:r>
      <w:r>
        <w:t xml:space="preserve"> are not testable </w:t>
      </w:r>
      <w:r w:rsidR="00F377B6">
        <w:fldChar w:fldCharType="begin"/>
      </w:r>
      <w:r w:rsidR="00F377B6">
        <w:instrText xml:space="preserve"> REF _Ref61527218 \w \h </w:instrText>
      </w:r>
      <w:r w:rsidR="00F377B6">
        <w:fldChar w:fldCharType="separate"/>
      </w:r>
      <w:r w:rsidR="00F377B6">
        <w:t>[4]</w:t>
      </w:r>
      <w:r w:rsidR="00F377B6">
        <w:fldChar w:fldCharType="end"/>
      </w:r>
      <w:r w:rsidR="00F377B6">
        <w:t xml:space="preserve"> </w:t>
      </w:r>
      <w:r>
        <w:t>should be revised as the ETC testability has been confirmed now</w:t>
      </w:r>
      <w:r w:rsidR="00E6696F">
        <w:t xml:space="preserve">; </w:t>
      </w:r>
    </w:p>
    <w:p w14:paraId="227A6FB0" w14:textId="7C8B91B5" w:rsidR="00B2291B" w:rsidRDefault="00B2291B" w:rsidP="00B2291B">
      <w:pPr>
        <w:pStyle w:val="Caption"/>
      </w:pPr>
      <w:bookmarkStart w:id="6" w:name="_Ref61527356"/>
      <w:r>
        <w:t xml:space="preserve">Proposal </w:t>
      </w:r>
      <w:r>
        <w:fldChar w:fldCharType="begin"/>
      </w:r>
      <w:r>
        <w:instrText xml:space="preserve"> SEQ Proposal \* ARABIC </w:instrText>
      </w:r>
      <w:r>
        <w:fldChar w:fldCharType="separate"/>
      </w:r>
      <w:r w:rsidR="00B871B2">
        <w:rPr>
          <w:noProof/>
        </w:rPr>
        <w:t>1</w:t>
      </w:r>
      <w:r>
        <w:fldChar w:fldCharType="end"/>
      </w:r>
      <w:r>
        <w:t>: RAN4 should assume that ETC testing is feasible from a testability perspective</w:t>
      </w:r>
      <w:r w:rsidR="00E6696F">
        <w:t xml:space="preserve"> for </w:t>
      </w:r>
      <w:r w:rsidR="00E6696F" w:rsidRPr="00E6696F">
        <w:t xml:space="preserve">all </w:t>
      </w:r>
      <w:r w:rsidR="00E6696F">
        <w:t>applicable</w:t>
      </w:r>
      <w:r w:rsidR="00E6696F" w:rsidRPr="00E6696F">
        <w:t xml:space="preserve"> FR2 UE RF test cas</w:t>
      </w:r>
      <w:r w:rsidR="00E6696F">
        <w:t>es</w:t>
      </w:r>
      <w:bookmarkEnd w:id="6"/>
    </w:p>
    <w:p w14:paraId="11175F23" w14:textId="697A1B98" w:rsidR="00B2291B" w:rsidRDefault="00B2291B" w:rsidP="00B2291B">
      <w:pPr>
        <w:pStyle w:val="Caption"/>
      </w:pPr>
      <w:bookmarkStart w:id="7" w:name="_Ref61527357"/>
      <w:r>
        <w:lastRenderedPageBreak/>
        <w:t xml:space="preserve">Proposal </w:t>
      </w:r>
      <w:r>
        <w:fldChar w:fldCharType="begin"/>
      </w:r>
      <w:r>
        <w:instrText xml:space="preserve"> SEQ Proposal \* ARABIC </w:instrText>
      </w:r>
      <w:r>
        <w:fldChar w:fldCharType="separate"/>
      </w:r>
      <w:r w:rsidR="00B871B2">
        <w:rPr>
          <w:noProof/>
        </w:rPr>
        <w:t>2</w:t>
      </w:r>
      <w:r>
        <w:fldChar w:fldCharType="end"/>
      </w:r>
      <w:r>
        <w:t xml:space="preserve">: </w:t>
      </w:r>
      <w:r w:rsidR="00F377B6">
        <w:t xml:space="preserve">The restrictions in 38.101-2 that </w:t>
      </w:r>
      <w:r w:rsidR="00F377B6" w:rsidRPr="00B2291B">
        <w:t>UE EIRP and EIS spherical coverage, Power control, EVM, and UE beam correspondence</w:t>
      </w:r>
      <w:r w:rsidR="00F377B6">
        <w:t xml:space="preserve"> are not testable should be revised as the ETC testability has been confirmed</w:t>
      </w:r>
      <w:bookmarkEnd w:id="7"/>
    </w:p>
    <w:p w14:paraId="2AA3077D" w14:textId="61E6097B" w:rsidR="00B871B2" w:rsidRPr="00B871B2" w:rsidRDefault="00B871B2" w:rsidP="00B871B2">
      <w:pPr>
        <w:pStyle w:val="Caption"/>
      </w:pPr>
      <w:bookmarkStart w:id="8" w:name="_Ref61605671"/>
      <w:r>
        <w:t xml:space="preserve">Proposal </w:t>
      </w:r>
      <w:r>
        <w:fldChar w:fldCharType="begin"/>
      </w:r>
      <w:r>
        <w:instrText xml:space="preserve"> SEQ Proposal \* ARABIC </w:instrText>
      </w:r>
      <w:r>
        <w:fldChar w:fldCharType="separate"/>
      </w:r>
      <w:r>
        <w:rPr>
          <w:noProof/>
        </w:rPr>
        <w:t>3</w:t>
      </w:r>
      <w:r>
        <w:fldChar w:fldCharType="end"/>
      </w:r>
      <w:r>
        <w:t xml:space="preserve">: </w:t>
      </w:r>
      <w:r>
        <w:rPr>
          <w:rFonts w:eastAsia="Times New Roman"/>
        </w:rPr>
        <w:t>RAN4 to clarify whether other core requirements (different from the ones in Proposal 2) will require any relaxation in case of ETC</w:t>
      </w:r>
      <w:bookmarkEnd w:id="8"/>
    </w:p>
    <w:bookmarkEnd w:id="3"/>
    <w:p w14:paraId="35952390" w14:textId="77777777" w:rsidR="008B0529" w:rsidRDefault="0053435C" w:rsidP="0053435C">
      <w:pPr>
        <w:pStyle w:val="Heading1"/>
        <w:ind w:left="567" w:hanging="567"/>
      </w:pPr>
      <w:r>
        <w:t>Conclusion</w:t>
      </w:r>
    </w:p>
    <w:p w14:paraId="35952391" w14:textId="6DF38384" w:rsidR="008B0529" w:rsidRDefault="0053435C" w:rsidP="008B0529">
      <w:r>
        <w:t>The following observations and proposals were made in this contribution</w:t>
      </w:r>
    </w:p>
    <w:p w14:paraId="32094CB9" w14:textId="3F35CE76" w:rsidR="00B871B2" w:rsidRPr="00B871B2" w:rsidRDefault="00B871B2" w:rsidP="008B0529">
      <w:pPr>
        <w:rPr>
          <w:b/>
          <w:bCs/>
        </w:rPr>
      </w:pPr>
      <w:r w:rsidRPr="00B871B2">
        <w:rPr>
          <w:b/>
          <w:bCs/>
        </w:rPr>
        <w:fldChar w:fldCharType="begin"/>
      </w:r>
      <w:r w:rsidRPr="00B871B2">
        <w:rPr>
          <w:b/>
          <w:bCs/>
        </w:rPr>
        <w:instrText xml:space="preserve"> REF _Ref61527356 \h </w:instrText>
      </w:r>
      <w:r>
        <w:rPr>
          <w:b/>
          <w:bCs/>
        </w:rPr>
        <w:instrText xml:space="preserve"> \* MERGEFORMAT </w:instrText>
      </w:r>
      <w:r w:rsidRPr="00B871B2">
        <w:rPr>
          <w:b/>
          <w:bCs/>
        </w:rPr>
      </w:r>
      <w:r w:rsidRPr="00B871B2">
        <w:rPr>
          <w:b/>
          <w:bCs/>
        </w:rPr>
        <w:fldChar w:fldCharType="separate"/>
      </w:r>
      <w:r w:rsidRPr="00B871B2">
        <w:rPr>
          <w:b/>
          <w:bCs/>
        </w:rPr>
        <w:t xml:space="preserve">Proposal </w:t>
      </w:r>
      <w:r w:rsidRPr="00B871B2">
        <w:rPr>
          <w:b/>
          <w:bCs/>
          <w:noProof/>
        </w:rPr>
        <w:t>1</w:t>
      </w:r>
      <w:r w:rsidRPr="00B871B2">
        <w:rPr>
          <w:b/>
          <w:bCs/>
        </w:rPr>
        <w:t>: RAN4 should assume that ETC testing is feasible from a testability perspective for all applicable FR2 UE RF test cases</w:t>
      </w:r>
      <w:r w:rsidRPr="00B871B2">
        <w:rPr>
          <w:b/>
          <w:bCs/>
        </w:rPr>
        <w:fldChar w:fldCharType="end"/>
      </w:r>
    </w:p>
    <w:p w14:paraId="0A7C5441" w14:textId="0E3E4E60" w:rsidR="00B871B2" w:rsidRPr="00B871B2" w:rsidRDefault="00B871B2" w:rsidP="008B0529">
      <w:pPr>
        <w:rPr>
          <w:b/>
          <w:bCs/>
        </w:rPr>
      </w:pPr>
      <w:r w:rsidRPr="00B871B2">
        <w:rPr>
          <w:b/>
          <w:bCs/>
        </w:rPr>
        <w:fldChar w:fldCharType="begin"/>
      </w:r>
      <w:r w:rsidRPr="00B871B2">
        <w:rPr>
          <w:b/>
          <w:bCs/>
        </w:rPr>
        <w:instrText xml:space="preserve"> REF _Ref61527357 \h </w:instrText>
      </w:r>
      <w:r>
        <w:rPr>
          <w:b/>
          <w:bCs/>
        </w:rPr>
        <w:instrText xml:space="preserve"> \* MERGEFORMAT </w:instrText>
      </w:r>
      <w:r w:rsidRPr="00B871B2">
        <w:rPr>
          <w:b/>
          <w:bCs/>
        </w:rPr>
      </w:r>
      <w:r w:rsidRPr="00B871B2">
        <w:rPr>
          <w:b/>
          <w:bCs/>
        </w:rPr>
        <w:fldChar w:fldCharType="separate"/>
      </w:r>
      <w:r w:rsidRPr="00B871B2">
        <w:rPr>
          <w:b/>
          <w:bCs/>
        </w:rPr>
        <w:t xml:space="preserve">Proposal </w:t>
      </w:r>
      <w:r w:rsidRPr="00B871B2">
        <w:rPr>
          <w:b/>
          <w:bCs/>
          <w:noProof/>
        </w:rPr>
        <w:t>2</w:t>
      </w:r>
      <w:r w:rsidRPr="00B871B2">
        <w:rPr>
          <w:b/>
          <w:bCs/>
        </w:rPr>
        <w:t>: The restrictions in 38.101-2 that UE EIRP and EIS spherical coverage, Power control, EVM, and UE beam correspondence are not testable should be revised as the ETC testability has been confirmed</w:t>
      </w:r>
      <w:r w:rsidRPr="00B871B2">
        <w:rPr>
          <w:b/>
          <w:bCs/>
        </w:rPr>
        <w:fldChar w:fldCharType="end"/>
      </w:r>
    </w:p>
    <w:p w14:paraId="09377FA5" w14:textId="0751739F" w:rsidR="00B871B2" w:rsidRPr="00B871B2" w:rsidRDefault="00B871B2" w:rsidP="008B0529">
      <w:pPr>
        <w:rPr>
          <w:b/>
          <w:bCs/>
        </w:rPr>
      </w:pPr>
      <w:r w:rsidRPr="00B871B2">
        <w:rPr>
          <w:b/>
          <w:bCs/>
        </w:rPr>
        <w:fldChar w:fldCharType="begin"/>
      </w:r>
      <w:r w:rsidRPr="00B871B2">
        <w:rPr>
          <w:b/>
          <w:bCs/>
        </w:rPr>
        <w:instrText xml:space="preserve"> REF _Ref61605671 \h </w:instrText>
      </w:r>
      <w:r>
        <w:rPr>
          <w:b/>
          <w:bCs/>
        </w:rPr>
        <w:instrText xml:space="preserve"> \* MERGEFORMAT </w:instrText>
      </w:r>
      <w:r w:rsidRPr="00B871B2">
        <w:rPr>
          <w:b/>
          <w:bCs/>
        </w:rPr>
      </w:r>
      <w:r w:rsidRPr="00B871B2">
        <w:rPr>
          <w:b/>
          <w:bCs/>
        </w:rPr>
        <w:fldChar w:fldCharType="separate"/>
      </w:r>
      <w:r w:rsidRPr="00B871B2">
        <w:rPr>
          <w:b/>
          <w:bCs/>
        </w:rPr>
        <w:t xml:space="preserve">Proposal </w:t>
      </w:r>
      <w:r w:rsidRPr="00B871B2">
        <w:rPr>
          <w:b/>
          <w:bCs/>
          <w:noProof/>
        </w:rPr>
        <w:t>3</w:t>
      </w:r>
      <w:r w:rsidRPr="00B871B2">
        <w:rPr>
          <w:b/>
          <w:bCs/>
        </w:rPr>
        <w:t xml:space="preserve">: </w:t>
      </w:r>
      <w:r w:rsidRPr="00B871B2">
        <w:rPr>
          <w:rFonts w:eastAsia="Times New Roman"/>
          <w:b/>
          <w:bCs/>
        </w:rPr>
        <w:t>RAN4 to clarify whether other core requirements (different from the ones in Proposal 2) will require any relaxation in case of ETC</w:t>
      </w:r>
      <w:r w:rsidRPr="00B871B2">
        <w:rPr>
          <w:b/>
          <w:bCs/>
        </w:rPr>
        <w:fldChar w:fldCharType="end"/>
      </w:r>
    </w:p>
    <w:p w14:paraId="35952392" w14:textId="77777777" w:rsidR="00DD1C07" w:rsidRDefault="00DD1C07" w:rsidP="00DD1C07">
      <w:pPr>
        <w:pStyle w:val="Heading1"/>
        <w:ind w:left="567" w:hanging="567"/>
      </w:pPr>
      <w:r>
        <w:t>References</w:t>
      </w:r>
    </w:p>
    <w:p w14:paraId="60537547" w14:textId="77777777" w:rsidR="009A4E46" w:rsidRPr="00347826" w:rsidRDefault="009A4E46" w:rsidP="009A4E46">
      <w:pPr>
        <w:pStyle w:val="ListParagraph"/>
        <w:numPr>
          <w:ilvl w:val="0"/>
          <w:numId w:val="5"/>
        </w:numPr>
        <w:spacing w:after="0" w:line="240" w:lineRule="auto"/>
        <w:rPr>
          <w:rFonts w:eastAsia="Malgun Gothic"/>
          <w:lang w:val="en-GB"/>
        </w:rPr>
      </w:pPr>
      <w:bookmarkStart w:id="9" w:name="_Ref20406919"/>
      <w:r w:rsidRPr="00347826">
        <w:rPr>
          <w:rFonts w:eastAsia="Malgun Gothic"/>
          <w:lang w:val="en-GB"/>
        </w:rPr>
        <w:t>RP-192322, New SID: Study on enhanced test methods for FR2, Apple Inc., CAICT, 3GPP TSG-RAN Meeting #85, September 2019</w:t>
      </w:r>
      <w:bookmarkEnd w:id="9"/>
    </w:p>
    <w:p w14:paraId="35952393" w14:textId="372456B1" w:rsidR="000547AB" w:rsidRPr="00B2291B" w:rsidRDefault="00C512EB" w:rsidP="00B2291B">
      <w:pPr>
        <w:pStyle w:val="ListParagraph"/>
        <w:numPr>
          <w:ilvl w:val="0"/>
          <w:numId w:val="5"/>
        </w:numPr>
        <w:spacing w:after="0" w:line="240" w:lineRule="auto"/>
        <w:rPr>
          <w:rFonts w:eastAsia="Malgun Gothic"/>
          <w:lang w:val="en-GB"/>
        </w:rPr>
      </w:pPr>
      <w:bookmarkStart w:id="10" w:name="_Ref54292053"/>
      <w:r w:rsidRPr="00B2291B">
        <w:rPr>
          <w:rFonts w:eastAsia="Malgun Gothic"/>
          <w:lang w:val="en-GB"/>
        </w:rPr>
        <w:t>R5-206819</w:t>
      </w:r>
      <w:r w:rsidR="007040A0" w:rsidRPr="00B2291B">
        <w:rPr>
          <w:rFonts w:eastAsia="Malgun Gothic"/>
          <w:lang w:val="en-GB"/>
        </w:rPr>
        <w:t xml:space="preserve">, </w:t>
      </w:r>
      <w:r w:rsidR="008B6A5C" w:rsidRPr="00B2291B">
        <w:rPr>
          <w:rFonts w:eastAsia="Malgun Gothic"/>
          <w:lang w:val="en-GB"/>
        </w:rPr>
        <w:t>QoQZ and EIRP/EIS MU results for ETC testing</w:t>
      </w:r>
      <w:r w:rsidR="007040A0" w:rsidRPr="00B2291B">
        <w:rPr>
          <w:rFonts w:eastAsia="Malgun Gothic"/>
          <w:lang w:val="en-GB"/>
        </w:rPr>
        <w:t xml:space="preserve">, Keysight Technologies, </w:t>
      </w:r>
      <w:r w:rsidR="008B6A5C" w:rsidRPr="00B2291B">
        <w:rPr>
          <w:rFonts w:eastAsia="Malgun Gothic"/>
          <w:lang w:val="en-GB"/>
        </w:rPr>
        <w:t>3GPP TSG-RAN5 Meeting #89-e</w:t>
      </w:r>
      <w:r w:rsidR="007040A0" w:rsidRPr="00B2291B">
        <w:rPr>
          <w:rFonts w:eastAsia="Malgun Gothic"/>
          <w:lang w:val="en-GB"/>
        </w:rPr>
        <w:t xml:space="preserve">, </w:t>
      </w:r>
      <w:r w:rsidR="008B6A5C" w:rsidRPr="00B2291B">
        <w:rPr>
          <w:rFonts w:eastAsia="Malgun Gothic"/>
          <w:lang w:val="en-GB"/>
        </w:rPr>
        <w:t>November</w:t>
      </w:r>
      <w:r w:rsidR="007040A0" w:rsidRPr="00B2291B">
        <w:rPr>
          <w:rFonts w:eastAsia="Malgun Gothic"/>
          <w:lang w:val="en-GB"/>
        </w:rPr>
        <w:t xml:space="preserve"> 2020</w:t>
      </w:r>
      <w:bookmarkEnd w:id="10"/>
    </w:p>
    <w:p w14:paraId="11C545EE" w14:textId="77777777" w:rsidR="00E84339" w:rsidRPr="00E84339" w:rsidRDefault="00E84339" w:rsidP="00E84339">
      <w:pPr>
        <w:pStyle w:val="ListParagraph"/>
        <w:numPr>
          <w:ilvl w:val="0"/>
          <w:numId w:val="5"/>
        </w:numPr>
        <w:spacing w:after="160" w:line="259" w:lineRule="auto"/>
      </w:pPr>
      <w:bookmarkStart w:id="11" w:name="_Ref61527153"/>
      <w:r w:rsidRPr="00151258">
        <w:t>TS 38.101-2, User Equipment (UE) radio transmission and reception; Part 2: Range 2 Standalone, V16.</w:t>
      </w:r>
      <w:r>
        <w:t>6</w:t>
      </w:r>
      <w:r w:rsidRPr="00151258">
        <w:t>.0 (20</w:t>
      </w:r>
      <w:r>
        <w:t>20</w:t>
      </w:r>
      <w:r w:rsidRPr="00151258">
        <w:t>-</w:t>
      </w:r>
      <w:r>
        <w:t>12</w:t>
      </w:r>
      <w:r w:rsidRPr="00151258">
        <w:t>)</w:t>
      </w:r>
      <w:bookmarkEnd w:id="11"/>
    </w:p>
    <w:p w14:paraId="081E9A79" w14:textId="783B4265" w:rsidR="00B2291B" w:rsidRDefault="00B2291B" w:rsidP="00B2291B">
      <w:pPr>
        <w:pStyle w:val="ListParagraph"/>
        <w:numPr>
          <w:ilvl w:val="0"/>
          <w:numId w:val="5"/>
        </w:numPr>
        <w:spacing w:after="0" w:line="240" w:lineRule="auto"/>
        <w:rPr>
          <w:rFonts w:eastAsia="Malgun Gothic"/>
          <w:lang w:val="en-GB"/>
        </w:rPr>
      </w:pPr>
      <w:bookmarkStart w:id="12" w:name="_Ref61527218"/>
      <w:r w:rsidRPr="00B2291B">
        <w:rPr>
          <w:rFonts w:eastAsia="Malgun Gothic"/>
          <w:lang w:val="en-GB"/>
        </w:rPr>
        <w:t>R4-2017596, WF on extreme temperature conditions for all applicable FR2 UE RF test cases, vivo, 3GPP TSG-RAN WG4 Meeting #97-e, November 2020</w:t>
      </w:r>
      <w:bookmarkEnd w:id="12"/>
    </w:p>
    <w:sectPr w:rsidR="00B2291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1"/>
  </w:num>
  <w:num w:numId="10">
    <w:abstractNumId w:val="5"/>
  </w:num>
  <w:num w:numId="11">
    <w:abstractNumId w:val="27"/>
  </w:num>
  <w:num w:numId="12">
    <w:abstractNumId w:val="11"/>
  </w:num>
  <w:num w:numId="13">
    <w:abstractNumId w:val="25"/>
  </w:num>
  <w:num w:numId="14">
    <w:abstractNumId w:val="33"/>
  </w:num>
  <w:num w:numId="15">
    <w:abstractNumId w:val="10"/>
  </w:num>
  <w:num w:numId="16">
    <w:abstractNumId w:val="31"/>
  </w:num>
  <w:num w:numId="17">
    <w:abstractNumId w:val="7"/>
  </w:num>
  <w:num w:numId="18">
    <w:abstractNumId w:val="23"/>
  </w:num>
  <w:num w:numId="19">
    <w:abstractNumId w:val="19"/>
  </w:num>
  <w:num w:numId="20">
    <w:abstractNumId w:val="24"/>
  </w:num>
  <w:num w:numId="21">
    <w:abstractNumId w:val="30"/>
  </w:num>
  <w:num w:numId="22">
    <w:abstractNumId w:val="22"/>
  </w:num>
  <w:num w:numId="23">
    <w:abstractNumId w:val="20"/>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26"/>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085"/>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2108"/>
    <w:rsid w:val="001B231F"/>
    <w:rsid w:val="001B6A72"/>
    <w:rsid w:val="001C00AA"/>
    <w:rsid w:val="001C0CFD"/>
    <w:rsid w:val="001C3A35"/>
    <w:rsid w:val="001C3CCB"/>
    <w:rsid w:val="001C4A15"/>
    <w:rsid w:val="001C687E"/>
    <w:rsid w:val="001D0D8E"/>
    <w:rsid w:val="001D7D91"/>
    <w:rsid w:val="001D7F4A"/>
    <w:rsid w:val="001E1CF6"/>
    <w:rsid w:val="001E4636"/>
    <w:rsid w:val="001E6DC6"/>
    <w:rsid w:val="001F5795"/>
    <w:rsid w:val="001F6D1F"/>
    <w:rsid w:val="001F706B"/>
    <w:rsid w:val="00200996"/>
    <w:rsid w:val="0020314E"/>
    <w:rsid w:val="00204999"/>
    <w:rsid w:val="00206FE6"/>
    <w:rsid w:val="0020758D"/>
    <w:rsid w:val="00207AD7"/>
    <w:rsid w:val="00210D55"/>
    <w:rsid w:val="0021155C"/>
    <w:rsid w:val="00212373"/>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4F35"/>
    <w:rsid w:val="00326CFF"/>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A2B7D"/>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E12CD"/>
    <w:rsid w:val="005E2985"/>
    <w:rsid w:val="005E5D66"/>
    <w:rsid w:val="005F3B1B"/>
    <w:rsid w:val="00607D98"/>
    <w:rsid w:val="0061059A"/>
    <w:rsid w:val="006126CA"/>
    <w:rsid w:val="006131BB"/>
    <w:rsid w:val="00613B1E"/>
    <w:rsid w:val="00616FB0"/>
    <w:rsid w:val="006210C4"/>
    <w:rsid w:val="00622B32"/>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D5F"/>
    <w:rsid w:val="006F1DCF"/>
    <w:rsid w:val="006F4830"/>
    <w:rsid w:val="006F4A1A"/>
    <w:rsid w:val="006F5431"/>
    <w:rsid w:val="006F5C22"/>
    <w:rsid w:val="00700488"/>
    <w:rsid w:val="00703F5D"/>
    <w:rsid w:val="007040A0"/>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B6A5C"/>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27CB4"/>
    <w:rsid w:val="00A313BC"/>
    <w:rsid w:val="00A320FB"/>
    <w:rsid w:val="00A3540D"/>
    <w:rsid w:val="00A446A0"/>
    <w:rsid w:val="00A4504D"/>
    <w:rsid w:val="00A452C2"/>
    <w:rsid w:val="00A45E4D"/>
    <w:rsid w:val="00A515A6"/>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91B"/>
    <w:rsid w:val="00B22ADA"/>
    <w:rsid w:val="00B24E76"/>
    <w:rsid w:val="00B334B9"/>
    <w:rsid w:val="00B36208"/>
    <w:rsid w:val="00B3769C"/>
    <w:rsid w:val="00B40D30"/>
    <w:rsid w:val="00B426E8"/>
    <w:rsid w:val="00B42B91"/>
    <w:rsid w:val="00B478AC"/>
    <w:rsid w:val="00B55D9A"/>
    <w:rsid w:val="00B5615C"/>
    <w:rsid w:val="00B5661F"/>
    <w:rsid w:val="00B6099D"/>
    <w:rsid w:val="00B62514"/>
    <w:rsid w:val="00B65101"/>
    <w:rsid w:val="00B7370C"/>
    <w:rsid w:val="00B73955"/>
    <w:rsid w:val="00B75741"/>
    <w:rsid w:val="00B822A0"/>
    <w:rsid w:val="00B8446C"/>
    <w:rsid w:val="00B871B2"/>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12EB"/>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B0D58"/>
    <w:rsid w:val="00CB29E4"/>
    <w:rsid w:val="00CB5BF2"/>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42B3"/>
    <w:rsid w:val="00E6696F"/>
    <w:rsid w:val="00E70C18"/>
    <w:rsid w:val="00E84339"/>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377B6"/>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9A4E46"/>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337958">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A5D43-E636-42B8-B05A-90BFC0042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642</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26</cp:revision>
  <dcterms:created xsi:type="dcterms:W3CDTF">2019-06-30T20:45:00Z</dcterms:created>
  <dcterms:modified xsi:type="dcterms:W3CDTF">2021-01-15T21:57:00Z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